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67F2E996" w:rsidR="00066EED" w:rsidRPr="00066EED" w:rsidRDefault="008369C4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8369C4">
        <w:rPr>
          <w:rFonts w:cs="Arial"/>
          <w:b/>
          <w:iCs/>
          <w:sz w:val="24"/>
        </w:rPr>
        <w:t xml:space="preserve">Programa de incentivos </w:t>
      </w:r>
      <w:r w:rsidR="001F5CD8">
        <w:rPr>
          <w:rFonts w:cs="Arial"/>
          <w:b/>
          <w:iCs/>
          <w:sz w:val="24"/>
        </w:rPr>
        <w:t>3</w:t>
      </w:r>
      <w:r w:rsidRPr="008369C4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270056" w:rsidRPr="00BD5386">
        <w:rPr>
          <w:rFonts w:cs="Arial"/>
          <w:b/>
          <w:iCs/>
          <w:sz w:val="24"/>
        </w:rPr>
        <w:t>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NextGenerationEU</w:t>
      </w:r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>Adicionalmente, atendiendo al contenido del PRTR, se compromete a respetar los principios de economía circular y evitar impactos negativos significativos en el medio ambiente («DNSH» por sus siglas en inglés «do no significant harm»)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5CD8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7CB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369C4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30BA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77FE3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376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36</cp:revision>
  <cp:lastPrinted>2021-06-22T06:59:00Z</cp:lastPrinted>
  <dcterms:created xsi:type="dcterms:W3CDTF">2022-10-19T10:43:00Z</dcterms:created>
  <dcterms:modified xsi:type="dcterms:W3CDTF">2025-06-17T07:26:00Z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